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CGV B2C – Version finale avec garantie ajustée et médiateur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CONDITIONS GÉNÉRALES DE VENTE – DOUMIE (B2C)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Version V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 entrée en vigueur le 1</w:t>
      </w:r>
      <w:r w:rsidDel="00000000" w:rsidR="00000000" w:rsidRPr="00000000">
        <w:rPr>
          <w:rFonts w:ascii="Arial" w:cs="Arial" w:eastAsia="Arial" w:hAnsi="Arial"/>
          <w:rtl w:val="0"/>
        </w:rPr>
        <w:t xml:space="preserve">7 Janvier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2026</w:t>
        <w:br w:type="textWrapping"/>
        <w:t xml:space="preserve">Ces Conditions Générales de Vente remplacent et annulent toute version antérieure. Toute commande passée sur le site internet de DOUMIE implique l’adhésion pleine et entière aux présentes CGV.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ymyvoegtyi7p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 – Objet et champ d’application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présentes CGV s’appliquent à toutes les ventes conclues à distance par DOUMIE avec un consommateur.</w:t>
        <w:br w:type="textWrapping"/>
        <w:t xml:space="preserve">Elles définissent les conditions de commande, de paiement, de livraison, de retours et de remboursement.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31zfevfmlks0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2 – Produits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produits proposés sont décrits avec la plus grande exactitude possible.</w:t>
        <w:br w:type="textWrapping"/>
        <w:t xml:space="preserve">Les photographies et visuels sont non contractuels.</w:t>
        <w:br w:type="textWrapping"/>
        <w:t xml:space="preserve">Les offres sont valables dans la limite des stocks disponibles.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3fprndptz0sw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3 – Prix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prix sont indiqués en euros, toutes taxes comprises.</w:t>
        <w:br w:type="textWrapping"/>
        <w:t xml:space="preserve">Ils sont ceux en vigueur au moment de l’enregistrement de la commande.</w:t>
        <w:br w:type="textWrapping"/>
        <w:t xml:space="preserve">DOUMIE se réserve le droit de modifier ses prix à tout moment.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wjwpazmi6wpx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4 – Commande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Toute commande passée sur le site implique l’acceptation des présentes CGV.</w:t>
        <w:br w:type="textWrapping"/>
        <w:t xml:space="preserve">La commande devient définitive après validation par DOUMIE.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gl3fwvftp1te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5 – Paiement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paiement est exigible immédiatement à la commande par les moyens proposés sur le site.</w:t>
        <w:br w:type="textWrapping"/>
        <w:t xml:space="preserve">En cas de refus de paiement, la commande est automatiquement annulée.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v1qjh6eksu3b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6 – Livraison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livraison est effectuée à l’adresse indiquée par le consommateur.</w:t>
        <w:br w:type="textWrapping"/>
        <w:t xml:space="preserve">Les délais sont communiqués à titre indicatif.</w:t>
        <w:br w:type="textWrapping"/>
        <w:t xml:space="preserve">Le consommateur est tenu de vérifier l’état des produits à la réception et de signaler toute anomalie.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fwp6iphl2y6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7 – Garanties légales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produits bénéficient des garanties légales de conformité et contre les vices cachés.</w:t>
        <w:br w:type="textWrapping"/>
        <w:t xml:space="preserve">Sont exclus de toute garantie 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l’usure normale,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dommages résultant d’un usage non conforme,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détériorations liées à un mauvais entretien.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Toute demande doit être adressée au service client avec justificatifs.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uux1ubpojndl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8 – Droit de rétractation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Conformément à la législation en vigueur, le consommateur dispose d’un délai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14 jours</w:t>
      </w:r>
      <w:r w:rsidDel="00000000" w:rsidR="00000000" w:rsidRPr="00000000">
        <w:rPr>
          <w:rFonts w:ascii="Arial" w:cs="Arial" w:eastAsia="Arial" w:hAnsi="Arial"/>
          <w:rtl w:val="0"/>
        </w:rPr>
        <w:t xml:space="preserve"> à compter de la réception pour exercer son droit de rétractation.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produits doivent être retournés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dans leur état d’origine, non utilisés, non lavés et dans leur emballage d’origine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frais de retour sont à la charge du consommateur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Lorsque DOUMIE met à disposition une solution de retour et prend en charge l’organisation du retour, un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forfait de 4,90 € TTC correspondant aux frais de retour</w:t>
      </w:r>
      <w:r w:rsidDel="00000000" w:rsidR="00000000" w:rsidRPr="00000000">
        <w:rPr>
          <w:rFonts w:ascii="Arial" w:cs="Arial" w:eastAsia="Arial" w:hAnsi="Arial"/>
          <w:rtl w:val="0"/>
        </w:rPr>
        <w:t xml:space="preserve"> sera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déduit du montant remboursé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Pour des raisons d’hygiène, certains produits ne peuvent être retournés s’ils ont été déballés, utilisés ou lavés (linge de maison notamment).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v0frtkqexzzy" w:id="8"/>
      <w:bookmarkEnd w:id="8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9 – Procédure de retour et remboursement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Tout retour doit faire l’objet d’une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information préalable auprès du service client de DOUMIE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remboursement intervient après réception et vérification des produits retournés.</w:t>
        <w:br w:type="textWrapping"/>
        <w:t xml:space="preserve">Le remboursement porte sur le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prix des produits retournés</w:t>
      </w:r>
      <w:r w:rsidDel="00000000" w:rsidR="00000000" w:rsidRPr="00000000">
        <w:rPr>
          <w:rFonts w:ascii="Arial" w:cs="Arial" w:eastAsia="Arial" w:hAnsi="Arial"/>
          <w:rtl w:val="0"/>
        </w:rPr>
        <w:t xml:space="preserve">, déduction faite, le cas échéant, des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frais de retour forfaitaires de 4,90 € TTC</w:t>
      </w:r>
      <w:r w:rsidDel="00000000" w:rsidR="00000000" w:rsidRPr="00000000">
        <w:rPr>
          <w:rFonts w:ascii="Arial" w:cs="Arial" w:eastAsia="Arial" w:hAnsi="Arial"/>
          <w:rtl w:val="0"/>
        </w:rPr>
        <w:t xml:space="preserve"> lorsque ceux-ci ont été pris en charge par DOUMIE.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v9avutin0bbe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10 – Responsabilité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responsabilité de DOUMIE est limitée au montant de la commande.</w:t>
        <w:br w:type="textWrapping"/>
        <w:t xml:space="preserve">DOUMIE ne saurait être tenue responsable des dommages résultant d’une mauvaise utilisation du produit.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ez0h47n1d54l" w:id="10"/>
      <w:bookmarkEnd w:id="1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11 – Données personnelles (RGPD)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données personnelles sont nécessaires à la gestion des commandes.</w:t>
        <w:br w:type="textWrapping"/>
        <w:t xml:space="preserve">Le consommateur dispose de droits d’accès, de rectification et de suppression en écrivant à :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privacy@doumie.com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cwtmglffv03n" w:id="11"/>
      <w:bookmarkEnd w:id="1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12 – Dispositions environnementales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DOUMIE encourage ses clients à déposer leurs textiles usagés dans des points de collecte agréés (Refashion, Emmaüs, Le Relais).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lh44pq32q29z" w:id="12"/>
      <w:bookmarkEnd w:id="1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13 – Médiation de la consommation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Conformément aux articles L.611-1 et L.616-1 du Code de la consommation, le consommateur peut recourir gratuitement à un médiateur de la consommation.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Médiateur désigné :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Médiateur du e-commerce CM2C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49 Rue de Ponthieu – 75008 Paris</w:t>
        <w:br w:type="textWrapping"/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https://www.cm2c.net/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 consommateur doit avoir préalablement adressé une réclamation écrite à</w:t>
      </w:r>
      <w:r w:rsidDel="00000000" w:rsidR="00000000" w:rsidRPr="00000000">
        <w:rPr>
          <w:rFonts w:ascii="Arial" w:cs="Arial" w:eastAsia="Arial" w:hAnsi="Arial"/>
          <w:rtl w:val="0"/>
        </w:rPr>
        <w:t xml:space="preserve"> DOUMIE.</w:t>
        <w:br w:type="textWrapping"/>
        <w:t xml:space="preserve">À défaut de réponse satisfaisante dans un délai de 60 jours, il peut saisir le médiateur.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Plateforme européenne de règlement en ligne des litiges :</w:t>
        <w:br w:type="textWrapping"/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https://ec.europa.eu/consumers/odr/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635" cy="1270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65640" y="3779683"/>
                          <a:ext cx="5760720" cy="6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35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before="360" w:lineRule="auto"/>
        <w:rPr>
          <w:rFonts w:ascii="Arial" w:cs="Arial" w:eastAsia="Arial" w:hAnsi="Arial"/>
          <w:b w:val="1"/>
          <w:bCs w:val="1"/>
          <w:color w:val="000000"/>
          <w:sz w:val="34"/>
          <w:szCs w:val="34"/>
        </w:rPr>
      </w:pPr>
      <w:bookmarkStart w:colFirst="0" w:colLast="0" w:name="_heading=h.s7ln2hiwp4z" w:id="13"/>
      <w:bookmarkEnd w:id="13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Article 14 – Droit applicable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présentes CGV sont soumises au droit français.</w:t>
        <w:br w:type="textWrapping"/>
        <w:t xml:space="preserve">Tout litige relève des juridictions compétentes.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3A4B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3A4B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3A4B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re1Car" w:customStyle="1">
    <w:name w:val="Titre 1 Car"/>
    <w:basedOn w:val="Policepardfaut"/>
    <w:uiPriority w:val="9"/>
    <w:rsid w:val="003A4B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uiPriority w:val="9"/>
    <w:rsid w:val="003A4B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uiPriority w:val="9"/>
    <w:rsid w:val="003A4B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uiPriority w:val="9"/>
    <w:semiHidden w:val="1"/>
    <w:rsid w:val="003A4B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uiPriority w:val="9"/>
    <w:semiHidden w:val="1"/>
    <w:rsid w:val="003A4BB6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uiPriority w:val="9"/>
    <w:semiHidden w:val="1"/>
    <w:rsid w:val="003A4BB6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3A4BB6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3A4BB6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3A4BB6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uiPriority w:val="10"/>
    <w:rsid w:val="003A4B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uiPriority w:val="11"/>
    <w:rsid w:val="003A4B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3A4B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3A4BB6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3A4BB6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3A4BB6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3A4B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3A4BB6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3A4BB6"/>
    <w:rPr>
      <w:b w:val="1"/>
      <w:bCs w:val="1"/>
      <w:smallCaps w:val="1"/>
      <w:color w:val="0f4761" w:themeColor="accent1" w:themeShade="0000BF"/>
      <w:spacing w:val="5"/>
    </w:rPr>
  </w:style>
  <w:style w:type="character" w:styleId="lev">
    <w:name w:val="Strong"/>
    <w:basedOn w:val="Policepardfaut"/>
    <w:uiPriority w:val="22"/>
    <w:qFormat w:val="1"/>
    <w:rsid w:val="003A4BB6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3A4B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converted-space" w:customStyle="1">
    <w:name w:val="apple-converted-space"/>
    <w:basedOn w:val="Policepardfaut"/>
    <w:rsid w:val="003A4BB6"/>
  </w:style>
  <w:style w:type="character" w:styleId="Lienhypertexte">
    <w:name w:val="Hyperlink"/>
    <w:basedOn w:val="Policepardfaut"/>
    <w:uiPriority w:val="99"/>
    <w:unhideWhenUsed w:val="1"/>
    <w:rsid w:val="003A4BB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1C0C36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1C0C36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.europa.eu/consumers/od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hyperlink" Target="https://www.cm2c.ne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XkaltvYXROB7fgW3dGtepzBxg==">CgMxLjAyDmgueW15dm9lZ3R5aTdwMg5oLjMxemZldmZtbGtzMDIOaC4zZnBybmRwdHowc3cyDmgud2p3cGF6bWk2d3B4Mg5oLmdsM2Z3dmZ0cDF0ZTIOaC52MXFqaDZla3N1M2IyDWguZndwNmlwaGwyeTYyDmgudXV4MXVicG9qbmRsMg5oLnYwZnJ0a3FleHp6eTIOaC52OWF2dXRpbjBiYmUyDmguZXowaDQ3bjFkNTRsMg5oLmN3dG1nbGZmdjAzbjIOaC5saDQ0cHEzMnEyOXoyDWguczdsbjJoaXdwNHo4AHIhMWVIeDVNYkFreWJ0bGo2T25CMV9QUWxyT3VpMllWd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2026-01-07T08:40:00Z</dcterms:created>
  <dc:creator>makhdum</dc:creator>
</cp:coreProperties>
</file>